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7E879" w14:textId="77777777" w:rsidR="00755A01" w:rsidRDefault="00851BFF" w:rsidP="009D5580">
      <w:pPr>
        <w:pStyle w:val="Titolo"/>
        <w:pageBreakBefore/>
        <w:spacing w:after="120"/>
        <w:ind w:left="431" w:hanging="431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Scheda di sintesi sulla rilevazione degli OIV o organismi con funzioni analoghe</w:t>
      </w:r>
      <w:r w:rsidR="00755A01">
        <w:rPr>
          <w:rFonts w:ascii="Titillium" w:hAnsi="Titillium"/>
          <w:sz w:val="20"/>
          <w:szCs w:val="20"/>
        </w:rPr>
        <w:t xml:space="preserve"> con riguardo a</w:t>
      </w:r>
      <w:r w:rsidR="00755A01" w:rsidRPr="00755A01">
        <w:rPr>
          <w:rFonts w:ascii="Titillium" w:hAnsi="Titillium"/>
          <w:sz w:val="20"/>
          <w:szCs w:val="20"/>
        </w:rPr>
        <w:t xml:space="preserve">ll’assolvimento degli obblighi di pubblicazione </w:t>
      </w:r>
      <w:r w:rsidR="00755A01">
        <w:rPr>
          <w:rFonts w:ascii="Titillium" w:hAnsi="Titillium"/>
          <w:sz w:val="20"/>
          <w:szCs w:val="20"/>
        </w:rPr>
        <w:tab/>
      </w:r>
      <w:r w:rsidR="00755A01">
        <w:rPr>
          <w:rFonts w:ascii="Titillium" w:hAnsi="Titillium"/>
          <w:sz w:val="20"/>
          <w:szCs w:val="20"/>
        </w:rPr>
        <w:tab/>
      </w:r>
      <w:r w:rsidR="00755A01">
        <w:rPr>
          <w:rFonts w:ascii="Titillium" w:hAnsi="Titillium"/>
          <w:sz w:val="20"/>
          <w:szCs w:val="20"/>
        </w:rPr>
        <w:tab/>
      </w:r>
      <w:r w:rsidR="00755A01" w:rsidRPr="00755A01">
        <w:rPr>
          <w:rFonts w:ascii="Titillium" w:hAnsi="Titillium"/>
          <w:sz w:val="20"/>
          <w:szCs w:val="20"/>
        </w:rPr>
        <w:t>al 31 maggio 2022</w:t>
      </w:r>
    </w:p>
    <w:p w14:paraId="0BDE54A9" w14:textId="77777777" w:rsidR="004C1C9F" w:rsidRPr="004C1C9F" w:rsidRDefault="004C1C9F" w:rsidP="009D5580">
      <w:pPr>
        <w:jc w:val="center"/>
        <w:rPr>
          <w:rFonts w:ascii="Titillium" w:hAnsi="Titillium"/>
          <w:sz w:val="20"/>
          <w:szCs w:val="20"/>
        </w:rPr>
      </w:pPr>
      <w:proofErr w:type="spellStart"/>
      <w:r w:rsidRPr="004C1C9F">
        <w:rPr>
          <w:rFonts w:ascii="Titillium" w:hAnsi="Titillium"/>
          <w:sz w:val="20"/>
          <w:szCs w:val="20"/>
        </w:rPr>
        <w:t>All</w:t>
      </w:r>
      <w:proofErr w:type="spellEnd"/>
      <w:r w:rsidRPr="004C1C9F">
        <w:rPr>
          <w:rFonts w:ascii="Titillium" w:hAnsi="Titillium"/>
          <w:sz w:val="20"/>
          <w:szCs w:val="20"/>
        </w:rPr>
        <w:t>. 3 Delibera ANAC 201/2022</w:t>
      </w:r>
    </w:p>
    <w:p w14:paraId="6B627DAE" w14:textId="77777777" w:rsidR="004C1C9F" w:rsidRPr="004C1C9F" w:rsidRDefault="004C1C9F" w:rsidP="004C1C9F">
      <w:pPr>
        <w:rPr>
          <w:rFonts w:ascii="Titillium" w:hAnsi="Titillium"/>
        </w:rPr>
      </w:pPr>
    </w:p>
    <w:p w14:paraId="60746CE0" w14:textId="72D85F8F" w:rsidR="00B650F0" w:rsidRPr="00BA0E0A" w:rsidRDefault="00BA0E0A" w:rsidP="00BA0E0A">
      <w:pPr>
        <w:pStyle w:val="Paragrafoelenco"/>
        <w:spacing w:after="0"/>
        <w:ind w:left="0" w:firstLine="0"/>
        <w:jc w:val="center"/>
        <w:rPr>
          <w:rFonts w:ascii="Titillium" w:hAnsi="Titillium"/>
          <w:b/>
          <w:sz w:val="20"/>
          <w:szCs w:val="20"/>
          <w:u w:val="single"/>
        </w:rPr>
      </w:pPr>
      <w:r>
        <w:rPr>
          <w:rFonts w:ascii="Titillium" w:hAnsi="Titillium"/>
          <w:b/>
          <w:sz w:val="20"/>
          <w:szCs w:val="20"/>
          <w:u w:val="single"/>
        </w:rPr>
        <w:t>Ordine p</w:t>
      </w:r>
      <w:r w:rsidR="00755A01" w:rsidRPr="00B650F0">
        <w:rPr>
          <w:rFonts w:ascii="Titillium" w:hAnsi="Titillium"/>
          <w:b/>
          <w:sz w:val="20"/>
          <w:szCs w:val="20"/>
          <w:u w:val="single"/>
        </w:rPr>
        <w:t xml:space="preserve">rovinciale </w:t>
      </w:r>
      <w:r>
        <w:rPr>
          <w:rFonts w:ascii="Titillium" w:hAnsi="Titillium"/>
          <w:b/>
          <w:sz w:val="20"/>
          <w:szCs w:val="20"/>
          <w:u w:val="single"/>
        </w:rPr>
        <w:t>d</w:t>
      </w:r>
      <w:r w:rsidR="00B650F0" w:rsidRPr="00B650F0">
        <w:rPr>
          <w:rFonts w:ascii="Titillium" w:hAnsi="Titillium" w:cs="Times New Roman"/>
          <w:b/>
          <w:bCs/>
          <w:color w:val="000000" w:themeColor="text1"/>
          <w:sz w:val="20"/>
          <w:szCs w:val="20"/>
          <w:u w:val="single"/>
        </w:rPr>
        <w:t>e</w:t>
      </w:r>
      <w:r>
        <w:rPr>
          <w:rFonts w:ascii="Titillium" w:hAnsi="Titillium" w:cs="Times New Roman"/>
          <w:b/>
          <w:bCs/>
          <w:color w:val="000000" w:themeColor="text1"/>
          <w:sz w:val="20"/>
          <w:szCs w:val="20"/>
          <w:u w:val="single"/>
        </w:rPr>
        <w:t xml:space="preserve">i Farmacisti </w:t>
      </w:r>
    </w:p>
    <w:p w14:paraId="3C7C7572" w14:textId="3BAD2C85" w:rsidR="00851BFF" w:rsidRPr="00B650F0" w:rsidRDefault="00B650F0" w:rsidP="00755A01">
      <w:pPr>
        <w:pStyle w:val="Paragrafoelenco"/>
        <w:ind w:left="0" w:firstLine="0"/>
        <w:jc w:val="center"/>
        <w:rPr>
          <w:rFonts w:ascii="Titillium" w:hAnsi="Titillium"/>
          <w:b/>
          <w:bCs/>
          <w:sz w:val="20"/>
          <w:szCs w:val="20"/>
          <w:u w:val="single"/>
        </w:rPr>
      </w:pPr>
      <w:r w:rsidRPr="00B650F0">
        <w:rPr>
          <w:rFonts w:ascii="Titillium" w:hAnsi="Titillium" w:cs="Times New Roman"/>
          <w:b/>
          <w:bCs/>
          <w:color w:val="000000" w:themeColor="text1"/>
          <w:sz w:val="20"/>
          <w:szCs w:val="20"/>
          <w:u w:val="single"/>
        </w:rPr>
        <w:t xml:space="preserve">della Provincia di </w:t>
      </w:r>
      <w:r w:rsidR="00B9187E">
        <w:rPr>
          <w:rFonts w:ascii="Titillium" w:hAnsi="Titillium" w:cs="Times New Roman"/>
          <w:b/>
          <w:bCs/>
          <w:color w:val="000000" w:themeColor="text1"/>
          <w:sz w:val="20"/>
          <w:szCs w:val="20"/>
          <w:u w:val="single"/>
        </w:rPr>
        <w:t>Catanzaro</w:t>
      </w:r>
      <w:r w:rsidR="00BA0E0A">
        <w:rPr>
          <w:rFonts w:ascii="Titillium" w:hAnsi="Titillium" w:cs="Times New Roman"/>
          <w:b/>
          <w:bCs/>
          <w:color w:val="000000" w:themeColor="text1"/>
          <w:sz w:val="20"/>
          <w:szCs w:val="20"/>
          <w:u w:val="single"/>
        </w:rPr>
        <w:t xml:space="preserve"> </w:t>
      </w:r>
    </w:p>
    <w:p w14:paraId="0DB26C5C" w14:textId="77777777" w:rsidR="00755A01" w:rsidRPr="0041405A" w:rsidRDefault="00755A01" w:rsidP="00755A01">
      <w:pPr>
        <w:pStyle w:val="Paragrafoelenco"/>
        <w:ind w:left="0" w:firstLine="0"/>
        <w:rPr>
          <w:rFonts w:ascii="Titillium" w:hAnsi="Titillium"/>
          <w:sz w:val="20"/>
          <w:szCs w:val="20"/>
        </w:rPr>
      </w:pPr>
    </w:p>
    <w:p w14:paraId="10F3C603" w14:textId="77777777" w:rsidR="00851BFF" w:rsidRPr="0041405A" w:rsidRDefault="00851BFF" w:rsidP="00851BFF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Data di svolgimento della rilevazione</w:t>
      </w:r>
    </w:p>
    <w:p w14:paraId="73002A97" w14:textId="563FB4C4" w:rsidR="00851BFF" w:rsidRPr="0041405A" w:rsidRDefault="00851BFF" w:rsidP="00851BFF">
      <w:pPr>
        <w:pStyle w:val="Paragrafoelenco"/>
        <w:spacing w:after="0" w:line="276" w:lineRule="auto"/>
        <w:ind w:left="0" w:firstLine="0"/>
        <w:rPr>
          <w:rFonts w:ascii="Titillium" w:hAnsi="Titillium"/>
          <w:sz w:val="20"/>
          <w:szCs w:val="20"/>
          <w:u w:val="single"/>
        </w:rPr>
      </w:pPr>
      <w:r>
        <w:rPr>
          <w:rFonts w:ascii="Titillium" w:hAnsi="Titillium"/>
          <w:sz w:val="20"/>
          <w:szCs w:val="20"/>
        </w:rPr>
        <w:t xml:space="preserve">La </w:t>
      </w:r>
      <w:r w:rsidRPr="0041405A">
        <w:rPr>
          <w:rFonts w:ascii="Titillium" w:hAnsi="Titillium"/>
          <w:sz w:val="20"/>
          <w:szCs w:val="20"/>
        </w:rPr>
        <w:t xml:space="preserve">rilevazione </w:t>
      </w:r>
      <w:r>
        <w:rPr>
          <w:rFonts w:ascii="Titillium" w:hAnsi="Titillium"/>
          <w:sz w:val="20"/>
          <w:szCs w:val="20"/>
        </w:rPr>
        <w:t xml:space="preserve">si è svolta </w:t>
      </w:r>
      <w:r w:rsidR="00BA0E0A">
        <w:rPr>
          <w:rFonts w:ascii="Titillium" w:hAnsi="Titillium"/>
          <w:sz w:val="20"/>
          <w:szCs w:val="20"/>
        </w:rPr>
        <w:t>in un’unica giornata, in data 29</w:t>
      </w:r>
      <w:r>
        <w:rPr>
          <w:rFonts w:ascii="Titillium" w:hAnsi="Titillium"/>
          <w:sz w:val="20"/>
          <w:szCs w:val="20"/>
        </w:rPr>
        <w:t>.06.2022.</w:t>
      </w:r>
      <w:r w:rsidR="00B9187E">
        <w:rPr>
          <w:rFonts w:ascii="Titillium" w:hAnsi="Titillium"/>
          <w:sz w:val="20"/>
          <w:szCs w:val="20"/>
        </w:rPr>
        <w:t xml:space="preserve"> Non erano tuttavia stati tempestivamente pubblicati gli atti e le attestazioni relative entro i termini previsti da ANAC. Si rimedia alla pubblicazione come da ultima comunicazione</w:t>
      </w:r>
      <w:r>
        <w:rPr>
          <w:rFonts w:ascii="Titillium" w:hAnsi="Titillium"/>
          <w:sz w:val="20"/>
          <w:szCs w:val="20"/>
        </w:rPr>
        <w:t xml:space="preserve"> </w:t>
      </w:r>
      <w:r w:rsidR="00B9187E">
        <w:rPr>
          <w:rFonts w:ascii="Titillium" w:hAnsi="Titillium"/>
          <w:sz w:val="20"/>
          <w:szCs w:val="20"/>
        </w:rPr>
        <w:t>entro il 15.10.2022.</w:t>
      </w:r>
    </w:p>
    <w:p w14:paraId="686EEA53" w14:textId="77777777" w:rsidR="00851BFF" w:rsidRPr="0041405A" w:rsidRDefault="00851BFF" w:rsidP="00851BFF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  <w:u w:val="single"/>
        </w:rPr>
      </w:pPr>
    </w:p>
    <w:p w14:paraId="02205B95" w14:textId="77777777" w:rsidR="00851BFF" w:rsidRPr="0041405A" w:rsidRDefault="00851BFF" w:rsidP="00851BFF">
      <w:pPr>
        <w:pStyle w:val="Paragrafoelenco"/>
        <w:spacing w:after="0" w:line="276" w:lineRule="auto"/>
        <w:ind w:left="720" w:firstLine="0"/>
        <w:rPr>
          <w:rFonts w:ascii="Titillium" w:hAnsi="Titillium"/>
          <w:sz w:val="20"/>
          <w:szCs w:val="20"/>
        </w:rPr>
      </w:pPr>
    </w:p>
    <w:p w14:paraId="2E66060C" w14:textId="77777777" w:rsidR="00851BFF" w:rsidRPr="0041405A" w:rsidRDefault="00851BFF" w:rsidP="00851BFF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Procedure e modalità seguite per la rilevazione </w:t>
      </w:r>
    </w:p>
    <w:p w14:paraId="1B02C691" w14:textId="6FD684E5" w:rsidR="00851BFF" w:rsidRDefault="00851BFF" w:rsidP="00851BFF">
      <w:pPr>
        <w:pStyle w:val="Paragrafoelenco"/>
        <w:spacing w:after="0" w:line="360" w:lineRule="auto"/>
        <w:ind w:left="0" w:firstLine="0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 xml:space="preserve">La rilevazione è stata condotta verificando ogni apposita sotto-sezione di Amministrazione trasparente, esaminando </w:t>
      </w:r>
      <w:r w:rsidR="00B9187E">
        <w:rPr>
          <w:rFonts w:ascii="Titillium" w:hAnsi="Titillium"/>
          <w:sz w:val="20"/>
          <w:szCs w:val="20"/>
        </w:rPr>
        <w:t xml:space="preserve">ogni </w:t>
      </w:r>
      <w:r>
        <w:rPr>
          <w:rFonts w:ascii="Titillium" w:hAnsi="Titillium"/>
          <w:sz w:val="20"/>
          <w:szCs w:val="20"/>
        </w:rPr>
        <w:t>singolo e procedendo ad un confronto con il personale addetto alla trasmissione e pubblicazione dei dati, che svolge l’attività a supporto del RPCT.</w:t>
      </w:r>
    </w:p>
    <w:p w14:paraId="548868BD" w14:textId="77777777" w:rsidR="00755A01" w:rsidRPr="0041405A" w:rsidRDefault="00755A01" w:rsidP="00851BFF">
      <w:pPr>
        <w:spacing w:line="360" w:lineRule="auto"/>
        <w:rPr>
          <w:rFonts w:ascii="Titillium" w:hAnsi="Titillium"/>
          <w:sz w:val="20"/>
          <w:szCs w:val="20"/>
          <w:u w:val="single"/>
        </w:rPr>
      </w:pPr>
    </w:p>
    <w:p w14:paraId="1027001E" w14:textId="77777777" w:rsidR="00851BFF" w:rsidRPr="0041405A" w:rsidRDefault="00851BFF" w:rsidP="00851BFF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Aspetti critici riscontrati nel corso della rilevazione</w:t>
      </w:r>
    </w:p>
    <w:p w14:paraId="433C3020" w14:textId="659994D6" w:rsidR="00851BFF" w:rsidRPr="0041405A" w:rsidRDefault="00B60350" w:rsidP="00851BFF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  <w:r>
        <w:rPr>
          <w:rFonts w:ascii="Titillium" w:hAnsi="Titillium"/>
          <w:sz w:val="20"/>
          <w:szCs w:val="20"/>
        </w:rPr>
        <w:t xml:space="preserve">Sono emersi alcuni aspetti di criticità, legati al mancato aggiornamento di alcune sezioni, alla cui implementazione tuttavia l’Ordine sta </w:t>
      </w:r>
      <w:r w:rsidR="00B9187E">
        <w:rPr>
          <w:rFonts w:ascii="Titillium" w:hAnsi="Titillium"/>
          <w:sz w:val="20"/>
          <w:szCs w:val="20"/>
        </w:rPr>
        <w:t>iniziando a rimediare e provvedere</w:t>
      </w:r>
      <w:r>
        <w:rPr>
          <w:rFonts w:ascii="Titillium" w:hAnsi="Titillium"/>
          <w:sz w:val="20"/>
          <w:szCs w:val="20"/>
        </w:rPr>
        <w:t xml:space="preserve">, </w:t>
      </w:r>
      <w:r w:rsidR="00B9187E">
        <w:rPr>
          <w:rFonts w:ascii="Titillium" w:hAnsi="Titillium"/>
          <w:sz w:val="20"/>
          <w:szCs w:val="20"/>
        </w:rPr>
        <w:t>così da colmare alcune lacune entro il prossimo ciclo di programmazione e rendicontazione anticorruzione (PIAO di prossima approvazione)</w:t>
      </w:r>
      <w:r>
        <w:rPr>
          <w:rFonts w:ascii="Titillium" w:hAnsi="Titillium"/>
          <w:sz w:val="20"/>
          <w:szCs w:val="20"/>
        </w:rPr>
        <w:t xml:space="preserve">; nonostante le </w:t>
      </w:r>
      <w:r w:rsidR="00755A01">
        <w:rPr>
          <w:rFonts w:ascii="Titillium" w:hAnsi="Titillium"/>
          <w:sz w:val="20"/>
          <w:szCs w:val="20"/>
        </w:rPr>
        <w:t xml:space="preserve">ridottissime dimensioni dell’ente e le difficoltà organizzative, anche grazie a un supporto formativo adeguato l’Ordine </w:t>
      </w:r>
      <w:r w:rsidR="00B9187E">
        <w:rPr>
          <w:rFonts w:ascii="Titillium" w:hAnsi="Titillium"/>
          <w:sz w:val="20"/>
          <w:szCs w:val="20"/>
        </w:rPr>
        <w:t xml:space="preserve">ha potuto iniziare a mettersi </w:t>
      </w:r>
      <w:r w:rsidR="00755A01">
        <w:rPr>
          <w:rFonts w:ascii="Titillium" w:hAnsi="Titillium"/>
          <w:sz w:val="20"/>
          <w:szCs w:val="20"/>
        </w:rPr>
        <w:t xml:space="preserve">in carreggiata per essere adempiente </w:t>
      </w:r>
      <w:r>
        <w:rPr>
          <w:rFonts w:ascii="Titillium" w:hAnsi="Titillium"/>
          <w:sz w:val="20"/>
          <w:szCs w:val="20"/>
        </w:rPr>
        <w:t xml:space="preserve">in tal senso e, più in generale, rispetto </w:t>
      </w:r>
      <w:r w:rsidR="00755A01">
        <w:rPr>
          <w:rFonts w:ascii="Titillium" w:hAnsi="Titillium"/>
          <w:sz w:val="20"/>
          <w:szCs w:val="20"/>
        </w:rPr>
        <w:t xml:space="preserve">agli obblighi di trasparenza e pubblicazione. </w:t>
      </w:r>
    </w:p>
    <w:p w14:paraId="770F226C" w14:textId="77777777" w:rsidR="000E09DD" w:rsidRDefault="000E09DD"/>
    <w:sectPr w:rsidR="000E0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02DBC" w14:textId="77777777" w:rsidR="00967066" w:rsidRDefault="00967066">
      <w:pPr>
        <w:spacing w:after="0" w:line="240" w:lineRule="auto"/>
      </w:pPr>
      <w:r>
        <w:separator/>
      </w:r>
    </w:p>
  </w:endnote>
  <w:endnote w:type="continuationSeparator" w:id="0">
    <w:p w14:paraId="453ABBE8" w14:textId="77777777" w:rsidR="00967066" w:rsidRDefault="00967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illium">
    <w:altName w:val="Courier New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7749D" w14:textId="77777777" w:rsidR="00257242" w:rsidRDefault="000000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A3B0E" w14:textId="77777777" w:rsidR="00257242" w:rsidRDefault="0000000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65E48" w14:textId="77777777" w:rsidR="00257242" w:rsidRDefault="00000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B6334" w14:textId="77777777" w:rsidR="00967066" w:rsidRDefault="00967066">
      <w:pPr>
        <w:spacing w:after="0" w:line="240" w:lineRule="auto"/>
      </w:pPr>
      <w:r>
        <w:separator/>
      </w:r>
    </w:p>
  </w:footnote>
  <w:footnote w:type="continuationSeparator" w:id="0">
    <w:p w14:paraId="76629CC6" w14:textId="77777777" w:rsidR="00967066" w:rsidRDefault="00967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12A52" w14:textId="77777777" w:rsidR="00257242" w:rsidRDefault="0000000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ADF48" w14:textId="77777777" w:rsidR="0085206C" w:rsidRDefault="00755A01" w:rsidP="006E496C">
    <w:pPr>
      <w:pStyle w:val="Intestazione"/>
      <w:jc w:val="right"/>
      <w:rPr>
        <w:rFonts w:ascii="Garamond" w:hAnsi="Garamond"/>
        <w:b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745C8190" wp14:editId="1BE37351">
          <wp:simplePos x="0" y="0"/>
          <wp:positionH relativeFrom="margin">
            <wp:posOffset>-271780</wp:posOffset>
          </wp:positionH>
          <wp:positionV relativeFrom="topMargin">
            <wp:posOffset>453390</wp:posOffset>
          </wp:positionV>
          <wp:extent cx="2879725" cy="341630"/>
          <wp:effectExtent l="0" t="0" r="0" b="127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972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249E02" w14:textId="77777777" w:rsidR="0085206C" w:rsidRDefault="00000000" w:rsidP="006E496C">
    <w:pPr>
      <w:pStyle w:val="Intestazione"/>
      <w:jc w:val="right"/>
      <w:rPr>
        <w:rFonts w:ascii="Garamond" w:hAnsi="Garamond"/>
        <w:b/>
      </w:rPr>
    </w:pPr>
  </w:p>
  <w:p w14:paraId="16CE65D5" w14:textId="77777777" w:rsidR="0085206C" w:rsidRDefault="00755A01" w:rsidP="0085206C">
    <w:pPr>
      <w:pStyle w:val="Intestazione"/>
      <w:tabs>
        <w:tab w:val="left" w:pos="3878"/>
      </w:tabs>
      <w:rPr>
        <w:rFonts w:ascii="Garamond" w:hAnsi="Garamond"/>
        <w:b/>
      </w:rPr>
    </w:pPr>
    <w:r>
      <w:rPr>
        <w:rFonts w:ascii="Garamond" w:hAnsi="Garamond"/>
        <w:b/>
      </w:rPr>
      <w:tab/>
    </w:r>
    <w:r>
      <w:rPr>
        <w:rFonts w:ascii="Garamond" w:hAnsi="Garamond"/>
        <w:b/>
      </w:rPr>
      <w:tab/>
    </w:r>
  </w:p>
  <w:p w14:paraId="07254B36" w14:textId="77777777" w:rsidR="00C27B23" w:rsidRPr="000F2C0E" w:rsidRDefault="00755A01" w:rsidP="006E496C">
    <w:pPr>
      <w:pStyle w:val="Intestazione"/>
      <w:jc w:val="right"/>
      <w:rPr>
        <w:rFonts w:ascii="Titillium" w:hAnsi="Titillium" w:cs="Times New Roman"/>
        <w:b/>
        <w:sz w:val="20"/>
        <w:szCs w:val="20"/>
      </w:rPr>
    </w:pPr>
    <w:r w:rsidRPr="000F2C0E">
      <w:rPr>
        <w:rFonts w:ascii="Titillium" w:hAnsi="Titillium"/>
        <w:b/>
        <w:sz w:val="20"/>
        <w:szCs w:val="20"/>
      </w:rPr>
      <w:t xml:space="preserve">Allegato 3 alla </w:t>
    </w:r>
    <w:r w:rsidRPr="000F2C0E">
      <w:rPr>
        <w:rFonts w:ascii="Titillium" w:hAnsi="Titillium" w:cs="Times New Roman"/>
        <w:b/>
        <w:sz w:val="20"/>
        <w:szCs w:val="20"/>
      </w:rPr>
      <w:t xml:space="preserve">delibera ANAC n. </w:t>
    </w:r>
    <w:r>
      <w:rPr>
        <w:rFonts w:ascii="Titillium" w:hAnsi="Titillium" w:cs="Times New Roman"/>
        <w:b/>
        <w:sz w:val="20"/>
        <w:szCs w:val="20"/>
      </w:rPr>
      <w:t>201</w:t>
    </w:r>
    <w:r w:rsidRPr="000F2C0E">
      <w:rPr>
        <w:rFonts w:ascii="Titillium" w:hAnsi="Titillium" w:cs="Times New Roman"/>
        <w:b/>
        <w:sz w:val="20"/>
        <w:szCs w:val="20"/>
      </w:rPr>
      <w:t>/202</w:t>
    </w:r>
    <w:r>
      <w:rPr>
        <w:rFonts w:ascii="Titillium" w:hAnsi="Titillium" w:cs="Times New Roman"/>
        <w:b/>
        <w:sz w:val="20"/>
        <w:szCs w:val="20"/>
      </w:rPr>
      <w:t>2</w:t>
    </w:r>
  </w:p>
  <w:p w14:paraId="3CC31E40" w14:textId="77777777" w:rsidR="0085206C" w:rsidRDefault="00000000" w:rsidP="006E496C">
    <w:pPr>
      <w:pStyle w:val="Intestazione"/>
      <w:jc w:val="right"/>
      <w:rPr>
        <w:rFonts w:ascii="Garamond" w:hAnsi="Garamond" w:cs="Times New Roman"/>
        <w:b/>
      </w:rPr>
    </w:pPr>
  </w:p>
  <w:p w14:paraId="246C499B" w14:textId="77777777" w:rsidR="0085206C" w:rsidRPr="006E496C" w:rsidRDefault="00000000" w:rsidP="006E496C">
    <w:pPr>
      <w:pStyle w:val="Intestazione"/>
      <w:jc w:val="right"/>
      <w:rPr>
        <w:rFonts w:ascii="Garamond" w:hAnsi="Garamond" w:cs="Times New Roman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61DB0" w14:textId="77777777" w:rsidR="00257242" w:rsidRDefault="0000000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711070">
    <w:abstractNumId w:val="0"/>
  </w:num>
  <w:num w:numId="2" w16cid:durableId="2118404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BFF"/>
    <w:rsid w:val="000E09DD"/>
    <w:rsid w:val="0022222D"/>
    <w:rsid w:val="004C1C9F"/>
    <w:rsid w:val="0051788F"/>
    <w:rsid w:val="005918B1"/>
    <w:rsid w:val="00755A01"/>
    <w:rsid w:val="00851BFF"/>
    <w:rsid w:val="00967066"/>
    <w:rsid w:val="00967265"/>
    <w:rsid w:val="009D5580"/>
    <w:rsid w:val="00A012CF"/>
    <w:rsid w:val="00B60350"/>
    <w:rsid w:val="00B650F0"/>
    <w:rsid w:val="00B9187E"/>
    <w:rsid w:val="00BA0E0A"/>
    <w:rsid w:val="00C0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FEEC3"/>
  <w15:chartTrackingRefBased/>
  <w15:docId w15:val="{24329F56-BD4F-45CF-ABF9-AF64E7F07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851BFF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rsid w:val="00851BFF"/>
    <w:pPr>
      <w:ind w:left="357" w:hanging="357"/>
    </w:pPr>
  </w:style>
  <w:style w:type="paragraph" w:styleId="Titolo">
    <w:name w:val="Title"/>
    <w:basedOn w:val="Normale"/>
    <w:next w:val="Normale"/>
    <w:link w:val="TitoloCarattere"/>
    <w:autoRedefine/>
    <w:rsid w:val="00851BFF"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character" w:customStyle="1" w:styleId="TitoloCarattere">
    <w:name w:val="Titolo Carattere"/>
    <w:basedOn w:val="Carpredefinitoparagrafo"/>
    <w:link w:val="Titolo"/>
    <w:rsid w:val="00851BFF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paragraph" w:styleId="Intestazione">
    <w:name w:val="header"/>
    <w:basedOn w:val="Normale"/>
    <w:link w:val="IntestazioneCarattere"/>
    <w:rsid w:val="00851BFF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851BFF"/>
    <w:rPr>
      <w:rFonts w:ascii="Times New Roman" w:eastAsia="Times New Roman" w:hAnsi="Times New Roman" w:cs="Cambria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rsid w:val="00851BFF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851BFF"/>
    <w:rPr>
      <w:rFonts w:ascii="Times New Roman" w:eastAsia="Times New Roman" w:hAnsi="Times New Roman" w:cs="Cambria"/>
      <w:sz w:val="24"/>
      <w:szCs w:val="24"/>
      <w:lang w:eastAsia="ar-SA"/>
    </w:rPr>
  </w:style>
  <w:style w:type="paragraph" w:customStyle="1" w:styleId="Default">
    <w:name w:val="Default"/>
    <w:rsid w:val="00851BFF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CUZZOLA</dc:creator>
  <cp:keywords/>
  <dc:description/>
  <cp:lastModifiedBy>Ignazio Tafuri</cp:lastModifiedBy>
  <cp:revision>2</cp:revision>
  <dcterms:created xsi:type="dcterms:W3CDTF">2022-10-13T11:19:00Z</dcterms:created>
  <dcterms:modified xsi:type="dcterms:W3CDTF">2022-10-13T11:19:00Z</dcterms:modified>
</cp:coreProperties>
</file>